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26DD37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6B0DA9" w:rsidRPr="006B0DA9">
        <w:rPr>
          <w:bCs/>
          <w:noProof w:val="0"/>
          <w:sz w:val="24"/>
          <w:szCs w:val="24"/>
        </w:rPr>
        <w:t>R2-1711063</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524F1E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1223" w:rsidRPr="00941223">
        <w:rPr>
          <w:rFonts w:cs="Arial"/>
          <w:b/>
          <w:bCs/>
          <w:sz w:val="24"/>
          <w:lang w:eastAsia="ja-JP"/>
        </w:rPr>
        <w:t>10.4.1.4.3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B47F42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6A58" w:rsidRPr="004D6A58">
        <w:rPr>
          <w:rFonts w:ascii="Arial" w:hAnsi="Arial" w:cs="Arial"/>
          <w:b/>
          <w:bCs/>
          <w:sz w:val="24"/>
        </w:rPr>
        <w:t>Measurement Configuration in NR with BWP, RRM and beams</w:t>
      </w:r>
      <w:r w:rsidR="00E4630E">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2F50719" w14:textId="77777777" w:rsidR="00E4630E" w:rsidRDefault="00E4630E" w:rsidP="00CD4C7B">
      <w:r>
        <w:t>In Berlin RAN2#99 following was decided regarding measurement configuration:</w:t>
      </w:r>
    </w:p>
    <w:p w14:paraId="44D44D6A"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Agreements</w:t>
      </w:r>
    </w:p>
    <w:p w14:paraId="1FAAA79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1</w:t>
      </w:r>
      <w:r w:rsidRPr="00503D7F">
        <w:tab/>
        <w:t>There is one NR-ARFCN per MO</w:t>
      </w:r>
    </w:p>
    <w:p w14:paraId="70EB00CC"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p>
    <w:p w14:paraId="028A88E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2</w:t>
      </w:r>
      <w:r w:rsidRPr="00503D7F">
        <w:tab/>
        <w:t>For measurements of carriers where SSB is not present (measurements performed on CSI-RS):</w:t>
      </w:r>
    </w:p>
    <w:p w14:paraId="17B1A91B"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i</w:t>
      </w:r>
      <w:r w:rsidRPr="00503D7F">
        <w:tab/>
        <w:t>MO includes CSI-RS resources for L3 mobility measurements; and</w:t>
      </w:r>
    </w:p>
    <w:p w14:paraId="15B13F57"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ii</w:t>
      </w:r>
      <w:r w:rsidRPr="00503D7F">
        <w:tab/>
        <w:t>MO includes some indication that no SSB is provided on this carrier.</w:t>
      </w:r>
    </w:p>
    <w:p w14:paraId="4BD79E82"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 xml:space="preserve">FFS Where the UE acquires timing reference for making measurements in this carrier. E.g. can UE assume timing reference from one of its </w:t>
      </w:r>
      <w:bookmarkStart w:id="1" w:name="_GoBack"/>
      <w:r w:rsidRPr="00503D7F">
        <w:t>serving</w:t>
      </w:r>
      <w:bookmarkEnd w:id="1"/>
      <w:r w:rsidRPr="00503D7F">
        <w:t xml:space="preserve"> carriers (for CA case), or does the MO include a pointer to another carrier with SSB for obtaining timing reference.</w:t>
      </w:r>
    </w:p>
    <w:p w14:paraId="29E8BA05"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p>
    <w:p w14:paraId="60350EA8"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3</w:t>
      </w:r>
      <w:r w:rsidRPr="00503D7F">
        <w:tab/>
        <w:t>For measurements of carriers where SSB is present:</w:t>
      </w:r>
    </w:p>
    <w:p w14:paraId="6E802FC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b/>
        <w:t xml:space="preserve">If SSB is not located in the centre of the carrier, then offset to the ARFCN provides the location in frequency of the SSB within that carrier. </w:t>
      </w:r>
    </w:p>
    <w:p w14:paraId="46B4C818"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FFS Whether the MO has only one SSB or whether the MO can include the location of more than one SSB.</w:t>
      </w:r>
    </w:p>
    <w:p w14:paraId="206D179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p>
    <w:p w14:paraId="142DB6CC"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Agreements above relate to a single BWP in which case the NR ARFCN would be the centre of the BWP. Case of multiple BWPs is FFS</w:t>
      </w:r>
    </w:p>
    <w:p w14:paraId="38CA6E87" w14:textId="77777777" w:rsidR="00E4630E" w:rsidRPr="00503D7F" w:rsidRDefault="00E4630E" w:rsidP="00E4630E">
      <w:pPr>
        <w:pStyle w:val="Doc-text2"/>
      </w:pPr>
    </w:p>
    <w:p w14:paraId="48FEF048"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Agreements:</w:t>
      </w:r>
    </w:p>
    <w:p w14:paraId="7754DFAE"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1</w:t>
      </w:r>
      <w:r w:rsidRPr="00503D7F">
        <w:tab/>
        <w:t>Keep current principles where measurement results are collected per measurement ID and the VarMeasReportList lists information per measurement ID about measurements for which triggering conditions have been met.</w:t>
      </w:r>
    </w:p>
    <w:p w14:paraId="0E161B23"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2</w:t>
      </w:r>
      <w:r w:rsidRPr="00503D7F">
        <w:tab/>
        <w:t>Include whitecell list in NR measurement object and parameter usewhitecell list in reporting configuration (or at measurement ID level) as in LTE.</w:t>
      </w:r>
    </w:p>
    <w:p w14:paraId="011BCA3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3</w:t>
      </w:r>
      <w:r w:rsidRPr="00503D7F">
        <w:tab/>
        <w:t>Include both frequency specific offset as well as cell specific offsets in MO. Offsets are for use in the event evaluation.</w:t>
      </w:r>
    </w:p>
    <w:p w14:paraId="222836F5"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FFS Whether it is possible to also include cell specific offsets within the reporting configuration.</w:t>
      </w:r>
    </w:p>
    <w:p w14:paraId="7BD10C39"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4</w:t>
      </w:r>
      <w:r w:rsidRPr="00503D7F">
        <w:tab/>
        <w:t>Autonomous changes to the measurement configuration are included in the spec only if necessary to avoid situations where the measurement configuration would be invalid following handover or re-establishment.</w:t>
      </w:r>
    </w:p>
    <w:p w14:paraId="1A90ECAC" w14:textId="1DCEED65" w:rsidR="00E4630E" w:rsidRDefault="00E4630E" w:rsidP="00CD4C7B"/>
    <w:p w14:paraId="0BBDFC0A" w14:textId="05099BA8" w:rsidR="00CD4C7B" w:rsidRPr="006E13D1" w:rsidRDefault="00E4630E" w:rsidP="00CD4C7B">
      <w:r>
        <w:t xml:space="preserve">In this paper we discuss FFS and agreements and how they should be interpreted. </w:t>
      </w:r>
    </w:p>
    <w:p w14:paraId="127ACA6D" w14:textId="3AD0919C" w:rsidR="00CD4C7B" w:rsidRPr="006E13D1" w:rsidRDefault="00CD4C7B" w:rsidP="00CD4C7B">
      <w:pPr>
        <w:pStyle w:val="Heading1"/>
      </w:pPr>
      <w:r w:rsidRPr="006E13D1">
        <w:lastRenderedPageBreak/>
        <w:t>2</w:t>
      </w:r>
      <w:r w:rsidRPr="006E13D1">
        <w:tab/>
      </w:r>
      <w:r w:rsidR="00E4630E">
        <w:t>Single or Multiple SSB per Measurement Object</w:t>
      </w:r>
    </w:p>
    <w:p w14:paraId="0BB47352" w14:textId="5BC96925" w:rsidR="00CD4C7B" w:rsidRDefault="00E4630E" w:rsidP="00CD4C7B">
      <w:r>
        <w:t xml:space="preserve">In NR each UE may have unique BWP configured </w:t>
      </w:r>
      <w:r w:rsidR="004777F8">
        <w:t xml:space="preserve">and activated </w:t>
      </w:r>
      <w:r>
        <w:t xml:space="preserve">to it based on UEs baseband/RF capabilities. On the other hand SSB is common signal but for very wide bandwidth capable UE it might be possible to receive multiple SSBs within its BWP. </w:t>
      </w:r>
    </w:p>
    <w:p w14:paraId="668562EE" w14:textId="4A97BCAC" w:rsidR="00E4630E" w:rsidRDefault="00E4630E" w:rsidP="00CD4C7B">
      <w:r>
        <w:t>On the other hand for different capable UE only single SSB can be h</w:t>
      </w:r>
      <w:r w:rsidR="006C1532">
        <w:t>e</w:t>
      </w:r>
      <w:r>
        <w:t>ard from its BWP but still NW could be broadcasting two or more SSBs. How do we set up UEs with such a diverse network/UE configurations?</w:t>
      </w:r>
    </w:p>
    <w:p w14:paraId="4C0D0AA2" w14:textId="7982AAD4" w:rsidR="00E4630E" w:rsidRDefault="00FB5313" w:rsidP="00CD4C7B">
      <w:r>
        <w:t>It should be noted that i</w:t>
      </w:r>
      <w:r w:rsidR="00E4630E">
        <w:t>n 3GPP RAN we write speci</w:t>
      </w:r>
      <w:r w:rsidR="00A0695B">
        <w:t>fications from UE point of view and thus we only need to write stage-3 in such a way that it consider how BWP / SSB are seen from UE.</w:t>
      </w:r>
    </w:p>
    <w:p w14:paraId="6D30DA85" w14:textId="2CE61B10" w:rsidR="00E4630E" w:rsidRDefault="00E4630E" w:rsidP="00CD4C7B">
      <w:r>
        <w:rPr>
          <w:b/>
        </w:rPr>
        <w:t xml:space="preserve">Observation: </w:t>
      </w:r>
      <w:r>
        <w:t>In 3GPP RAN</w:t>
      </w:r>
      <w:r w:rsidR="00A0695B">
        <w:t xml:space="preserve"> Stage-3</w:t>
      </w:r>
      <w:r>
        <w:t xml:space="preserve"> specifications are written from UE point of view</w:t>
      </w:r>
      <w:r w:rsidR="00A0695B">
        <w:t xml:space="preserve"> but on the other hand Stage-2 may need to write aspects from NW point of view to provide some light why BWP is required in NR</w:t>
      </w:r>
    </w:p>
    <w:p w14:paraId="3D95EF4F" w14:textId="64BB9F77" w:rsidR="00E4630E" w:rsidRDefault="00297CC0" w:rsidP="00CD4C7B">
      <w:r>
        <w:t xml:space="preserve">Now we could </w:t>
      </w:r>
      <w:r w:rsidR="00A0695B">
        <w:t>discuss</w:t>
      </w:r>
      <w:r>
        <w:t xml:space="preserve"> whether one could configure multiple reference symbol configu</w:t>
      </w:r>
      <w:r w:rsidR="00725793">
        <w:t>rations per measurement object or just one:</w:t>
      </w:r>
    </w:p>
    <w:p w14:paraId="5D2EA0A7" w14:textId="3D0D0F1F" w:rsidR="00725793" w:rsidRDefault="00725793" w:rsidP="00CD4C7B">
      <w:r>
        <w:t xml:space="preserve">Option 1) 1 RS configuration per measurement object </w:t>
      </w:r>
    </w:p>
    <w:p w14:paraId="67277B55" w14:textId="643A4B91" w:rsidR="00725793" w:rsidRDefault="00725793" w:rsidP="00CD4C7B">
      <w:r>
        <w:t>Option 2) multiple RS configurations per measurement object</w:t>
      </w:r>
    </w:p>
    <w:p w14:paraId="5475E93E" w14:textId="473267C9" w:rsidR="00FB5313" w:rsidRDefault="00FB5313" w:rsidP="00CD4C7B">
      <w:r>
        <w:t xml:space="preserve">For the first </w:t>
      </w:r>
      <w:r w:rsidR="00432FD1">
        <w:t>option</w:t>
      </w:r>
      <w:r>
        <w:t xml:space="preserve"> one could consider that for this BWP of the UE, multiple SSB are configured for a measurement object as UE can hear more than one SSBs. On the other hand again considering observation 1 – we do not write specifications from UE point of view i.e. it does not matter whether we have one, two, three or more SSB that UE can hear but what does matter is what information NW would need from UE to operate. Thus what would NW do with information from multiple SSBs from a given BWP? Would the SSB results from single BWP differ significantly? And if they differ how they should be reported? </w:t>
      </w:r>
    </w:p>
    <w:p w14:paraId="72B48852" w14:textId="131F3ED7" w:rsidR="00FB5313" w:rsidRDefault="00FB5313" w:rsidP="00CD4C7B">
      <w:r>
        <w:t xml:space="preserve">As the BW of the cell can be huge in NR and hopefully also UE capabilities (at least for high end UEs) to receive increase as well it is likely that multiple SSBs can be received by some UEs in the system from the UEs BWP. </w:t>
      </w:r>
      <w:r w:rsidR="00495017">
        <w:t>As the distance in frequency domain between different SSBs received by UE can be large also the fast fading characteristics of SSB can be different</w:t>
      </w:r>
      <w:r w:rsidR="009D41C0">
        <w:t>. Although one needs to remember that NW cannot design the RRM in such a way that it does not operate properly with only one SSB but would require multiple as anyway it is certain that there will be always UEs that are only able to receive single SSB.</w:t>
      </w:r>
      <w:r w:rsidR="00495017">
        <w:t xml:space="preserve"> For the scheduling on the other hand measurement reporting is way too slow and CQI reporting should be utilized.</w:t>
      </w:r>
    </w:p>
    <w:p w14:paraId="71E69930" w14:textId="752B901D" w:rsidR="00495017" w:rsidRDefault="00495017" w:rsidP="00CD4C7B">
      <w:r>
        <w:rPr>
          <w:b/>
        </w:rPr>
        <w:t xml:space="preserve">Observation: </w:t>
      </w:r>
      <w:r>
        <w:t xml:space="preserve">Having multiple SSBs configured per BWP does not seem to be </w:t>
      </w:r>
      <w:r w:rsidR="009D41C0">
        <w:t>required</w:t>
      </w:r>
      <w:r>
        <w:t xml:space="preserve"> from RRM or scheduling point of view</w:t>
      </w:r>
    </w:p>
    <w:p w14:paraId="39B289DC" w14:textId="7C8D3FC8" w:rsidR="00432FD1" w:rsidRDefault="00432FD1" w:rsidP="00CD4C7B">
      <w:r>
        <w:t xml:space="preserve">But probably more relevant in RAN2 is how the report configuration, measurement object, BWP configuration, quantity configuration are related to each other </w:t>
      </w:r>
      <w:r w:rsidR="002E7837">
        <w:t xml:space="preserve">and </w:t>
      </w:r>
      <w:r>
        <w:t>how easy it is to handle mobility with chosen solution.</w:t>
      </w:r>
    </w:p>
    <w:p w14:paraId="0EFE9B38" w14:textId="60553E93" w:rsidR="00432FD1" w:rsidRDefault="003417BA" w:rsidP="00CD4C7B">
      <w:r>
        <w:t xml:space="preserve">If a measurement object may have multiple NR-SS configurations one would need to be able to indicate also in the measurement configuration which particular NR-SS configuration is meant to be measured by the UE for specific event. This could be achieved e.g. by signalling in the event configuration reference configuration identity. </w:t>
      </w:r>
    </w:p>
    <w:p w14:paraId="11A860A1" w14:textId="49E894CC" w:rsidR="004F6FA3" w:rsidRDefault="004F6FA3" w:rsidP="00CD4C7B">
      <w:r>
        <w:t>In case measurement object only has a reference symbol configuration then there would not be need to configure anything extra but just linkage given by the measurement identity would be sufficient (i.e. linking object to event)</w:t>
      </w:r>
      <w:r w:rsidR="004B61FE">
        <w:t xml:space="preserve"> like in LTE</w:t>
      </w:r>
      <w:r>
        <w:t xml:space="preserve">. </w:t>
      </w:r>
    </w:p>
    <w:p w14:paraId="68D28E59" w14:textId="43B2C4F6" w:rsidR="00495017" w:rsidRDefault="00495017" w:rsidP="00CD4C7B">
      <w:r>
        <w:t>This leads to propose that for simplicity and analogous EUTRAN behaviour that only single SSB is configured per measurement object.</w:t>
      </w:r>
    </w:p>
    <w:p w14:paraId="0EB2348A" w14:textId="1EAEF02D" w:rsidR="00495017" w:rsidRDefault="00495017" w:rsidP="00CD4C7B">
      <w:r>
        <w:rPr>
          <w:b/>
        </w:rPr>
        <w:t xml:space="preserve">Proposal: </w:t>
      </w:r>
      <w:r>
        <w:t>Enable configuring single SSB per measurement object (and do not enable configuring multiple SSB per MO)</w:t>
      </w:r>
      <w:r w:rsidR="00846658">
        <w:t>. This would be analogous to EUTRAN.</w:t>
      </w:r>
    </w:p>
    <w:p w14:paraId="78402B2D" w14:textId="7AA139C3" w:rsidR="00495017" w:rsidRPr="00495017" w:rsidRDefault="00495017" w:rsidP="00CD4C7B">
      <w:r>
        <w:t>Analogously similar think</w:t>
      </w:r>
      <w:r w:rsidR="00816E08">
        <w:t xml:space="preserve">ing should be applied to CSI-RS </w:t>
      </w:r>
      <w:r w:rsidR="00ED0588">
        <w:t>when considering to configure CSI-RS resource</w:t>
      </w:r>
      <w:r w:rsidR="004B61FE">
        <w:t>s</w:t>
      </w:r>
      <w:r w:rsidR="00ED0588">
        <w:t xml:space="preserve"> from different carrier frequencies</w:t>
      </w:r>
      <w:r w:rsidR="0040414E">
        <w:t>. B</w:t>
      </w:r>
      <w:r w:rsidR="00816E08">
        <w:t xml:space="preserve">ut </w:t>
      </w:r>
      <w:r w:rsidR="00ED0588">
        <w:t>it would seem to be quite limiting only to configure single CSI-RS resource per measurement object</w:t>
      </w:r>
      <w:r w:rsidR="0040414E">
        <w:t xml:space="preserve"> even if single carrier has possibly lots of resources. Thus it might be useful to consider to configure multiple CSI-RS resource of a carrier in a measurement object</w:t>
      </w:r>
    </w:p>
    <w:p w14:paraId="01A1D16C" w14:textId="15DD1337" w:rsidR="00495017" w:rsidRDefault="00495017" w:rsidP="00495017">
      <w:r>
        <w:rPr>
          <w:b/>
        </w:rPr>
        <w:t xml:space="preserve">Proposal: </w:t>
      </w:r>
      <w:r>
        <w:t>Enable configuring CSI-RS resource</w:t>
      </w:r>
      <w:r w:rsidR="0080235A">
        <w:t>set</w:t>
      </w:r>
      <w:r w:rsidR="0040414E">
        <w:t xml:space="preserve"> of single carrier</w:t>
      </w:r>
      <w:r>
        <w:t xml:space="preserve"> per measurement object. </w:t>
      </w:r>
    </w:p>
    <w:p w14:paraId="354CF839" w14:textId="33E3BEEE" w:rsidR="00495017" w:rsidRDefault="00495017" w:rsidP="00CD4C7B">
      <w:r>
        <w:lastRenderedPageBreak/>
        <w:t>On the other hand it would be difficult to “prevent” NW to configure multiple SSBs per BWP</w:t>
      </w:r>
      <w:r w:rsidR="00846658">
        <w:t xml:space="preserve"> as long as NW knows UE bandwidth capabilities. An</w:t>
      </w:r>
      <w:r>
        <w:t xml:space="preserve">d there is no reason to </w:t>
      </w:r>
      <w:r w:rsidR="006A727F">
        <w:t>prevent</w:t>
      </w:r>
      <w:r w:rsidR="00846658">
        <w:t xml:space="preserve"> network to </w:t>
      </w:r>
      <w:r>
        <w:t>do so. If NW thinks this could be useful this kind of behaviour could be allowed. Anyway</w:t>
      </w:r>
      <w:r w:rsidR="000A3693">
        <w:t>,</w:t>
      </w:r>
      <w:r>
        <w:t xml:space="preserve"> it is impossible to predict the future developments of bands and bandwidth capabilities of UEs. And thus it may become useful to configure multiple SSBs from BWP. In this kind of scenario anyway if the measurement results of different SSBs are considered by NW to be “semi”-orthogonal one should allow NW to configure multiple SSBs per BWP.</w:t>
      </w:r>
    </w:p>
    <w:p w14:paraId="78E1C54B" w14:textId="00FEE94F" w:rsidR="00495017" w:rsidRDefault="00495017" w:rsidP="00CD4C7B">
      <w:r>
        <w:t>Similar thinking should be applied to CSI-RS – NW should be allowed to configure multiple CSI-RS from UE BWP.</w:t>
      </w:r>
    </w:p>
    <w:p w14:paraId="653717FC" w14:textId="46EB7055" w:rsidR="009D41C0" w:rsidRDefault="00495017" w:rsidP="009D41C0">
      <w:r>
        <w:rPr>
          <w:b/>
        </w:rPr>
        <w:t xml:space="preserve">Proposal: </w:t>
      </w:r>
      <w:r>
        <w:t>There is no need to prevent NW from configuring multiple SSBs</w:t>
      </w:r>
      <w:r w:rsidR="004B61FE">
        <w:t>/CSI-RSes</w:t>
      </w:r>
      <w:r>
        <w:t xml:space="preserve"> </w:t>
      </w:r>
      <w:r w:rsidR="004B61FE">
        <w:t>from</w:t>
      </w:r>
      <w:r>
        <w:t xml:space="preserve"> BWP and independent reporting of these.</w:t>
      </w:r>
      <w:r w:rsidR="009D41C0" w:rsidRPr="009D41C0">
        <w:t xml:space="preserve"> </w:t>
      </w:r>
      <w:r w:rsidR="009D41C0">
        <w:t>NOTE: no specification impact</w:t>
      </w:r>
      <w:r w:rsidR="009D41C0" w:rsidRPr="009D41C0">
        <w:t xml:space="preserve"> </w:t>
      </w:r>
      <w:r w:rsidR="009D41C0">
        <w:t>assuming earlier proposals are agreed</w:t>
      </w:r>
    </w:p>
    <w:p w14:paraId="4E4935FE" w14:textId="2BA11384" w:rsidR="00495017" w:rsidRDefault="00FA479D" w:rsidP="00CD4C7B">
      <w:r>
        <w:t>Then regarding this agreement:</w:t>
      </w:r>
    </w:p>
    <w:p w14:paraId="2354547F" w14:textId="77777777" w:rsidR="00FA479D" w:rsidRPr="00503D7F" w:rsidRDefault="00FA479D" w:rsidP="00FA479D">
      <w:pPr>
        <w:pStyle w:val="Doc-text2"/>
        <w:pBdr>
          <w:top w:val="single" w:sz="4" w:space="1" w:color="auto"/>
          <w:left w:val="single" w:sz="4" w:space="4" w:color="auto"/>
          <w:bottom w:val="single" w:sz="4" w:space="1" w:color="auto"/>
          <w:right w:val="single" w:sz="4" w:space="4" w:color="auto"/>
        </w:pBdr>
      </w:pPr>
      <w:r w:rsidRPr="00503D7F">
        <w:t>Agreements</w:t>
      </w:r>
    </w:p>
    <w:p w14:paraId="753A430E" w14:textId="77777777" w:rsidR="00FA479D" w:rsidRPr="00503D7F" w:rsidRDefault="00FA479D" w:rsidP="00FA479D">
      <w:pPr>
        <w:pStyle w:val="Doc-text2"/>
        <w:pBdr>
          <w:top w:val="single" w:sz="4" w:space="1" w:color="auto"/>
          <w:left w:val="single" w:sz="4" w:space="4" w:color="auto"/>
          <w:bottom w:val="single" w:sz="4" w:space="1" w:color="auto"/>
          <w:right w:val="single" w:sz="4" w:space="4" w:color="auto"/>
        </w:pBdr>
      </w:pPr>
      <w:r w:rsidRPr="00503D7F">
        <w:t>1</w:t>
      </w:r>
      <w:r w:rsidRPr="00503D7F">
        <w:tab/>
        <w:t>There is one NR-ARFCN per MO</w:t>
      </w:r>
    </w:p>
    <w:p w14:paraId="5D766D84" w14:textId="20306837" w:rsidR="00FA479D" w:rsidRDefault="00FA479D" w:rsidP="00CD4C7B">
      <w:r>
        <w:t>Based on the discussion above we would like to clarify that this NR-ARFCN means center frequency of measured resource</w:t>
      </w:r>
      <w:r w:rsidR="004B61FE">
        <w:t xml:space="preserve"> not center frequency of a BWP.</w:t>
      </w:r>
      <w:r>
        <w:t xml:space="preserve"> </w:t>
      </w:r>
      <w:r w:rsidR="005134F9">
        <w:t>Especially as the carrier raster for the cell is much more dense than raster for the RS carrier, it would be weird to use center frequency of the cell for indicating carrier frequency of the measured resources. Thus i</w:t>
      </w:r>
      <w:r>
        <w:t>t does not</w:t>
      </w:r>
      <w:r w:rsidR="005134F9">
        <w:t xml:space="preserve"> seem to</w:t>
      </w:r>
      <w:r>
        <w:t xml:space="preserve"> make sense to signal irrelevan</w:t>
      </w:r>
      <w:r w:rsidR="005134F9">
        <w:t>t information regarding measurements</w:t>
      </w:r>
    </w:p>
    <w:p w14:paraId="4AE2C3D1" w14:textId="348E303F" w:rsidR="00FA479D" w:rsidRDefault="00FA479D" w:rsidP="00CD4C7B">
      <w:r>
        <w:rPr>
          <w:b/>
        </w:rPr>
        <w:t xml:space="preserve">Proposal: </w:t>
      </w:r>
      <w:r>
        <w:t>Confirm that NR-ARFCN of MO is the freque</w:t>
      </w:r>
      <w:r w:rsidR="005134F9">
        <w:t>ncy of the measured resource (up to RAN4/RAN1 to decide what is carrier rasters for measured resources)</w:t>
      </w:r>
    </w:p>
    <w:p w14:paraId="3B92D701" w14:textId="5E7A5592" w:rsidR="00FA479D" w:rsidRDefault="00FA479D" w:rsidP="00CD4C7B">
      <w:r>
        <w:t>And assuming that it is agreeable that only single measured resource is configured per MO then there is no need to signal any “offsets”.</w:t>
      </w:r>
    </w:p>
    <w:p w14:paraId="1631B0C9" w14:textId="4B1A7BD7" w:rsidR="00FA479D" w:rsidRPr="00FA479D" w:rsidRDefault="00FA479D" w:rsidP="00CD4C7B">
      <w:r>
        <w:rPr>
          <w:b/>
        </w:rPr>
        <w:t xml:space="preserve">Proposal: </w:t>
      </w:r>
      <w:r>
        <w:t>There is no need to signal offset to measured resource</w:t>
      </w:r>
    </w:p>
    <w:p w14:paraId="6F0DAF19" w14:textId="2FD0EA75" w:rsidR="008F23A7" w:rsidRDefault="00D31E01" w:rsidP="008F23A7">
      <w:r>
        <w:t xml:space="preserve">So based on the discussion above the configuration structure could look like </w:t>
      </w:r>
      <w:r w:rsidR="00D77B6F">
        <w:t>this (i.e. very similar to LTE)</w:t>
      </w:r>
    </w:p>
    <w:p w14:paraId="06CF16D2" w14:textId="2B724BC4" w:rsidR="0021727D" w:rsidRDefault="0080235A" w:rsidP="008F23A7">
      <w:r>
        <w:rPr>
          <w:noProof/>
        </w:rPr>
        <w:drawing>
          <wp:inline distT="0" distB="0" distL="0" distR="0" wp14:anchorId="26BC1B37" wp14:editId="43F4D438">
            <wp:extent cx="6106795" cy="4323715"/>
            <wp:effectExtent l="0" t="0" r="825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6795" cy="4323715"/>
                    </a:xfrm>
                    <a:prstGeom prst="rect">
                      <a:avLst/>
                    </a:prstGeom>
                    <a:noFill/>
                    <a:ln>
                      <a:noFill/>
                    </a:ln>
                  </pic:spPr>
                </pic:pic>
              </a:graphicData>
            </a:graphic>
          </wp:inline>
        </w:drawing>
      </w:r>
    </w:p>
    <w:p w14:paraId="3128BB07" w14:textId="77777777" w:rsidR="0021727D" w:rsidRDefault="0021727D" w:rsidP="008F23A7"/>
    <w:p w14:paraId="32E9EA58" w14:textId="77777777" w:rsidR="004B61FE" w:rsidRDefault="0021727D" w:rsidP="008F23A7">
      <w:r>
        <w:lastRenderedPageBreak/>
        <w:t xml:space="preserve">The difference of above compared to LTE is that now </w:t>
      </w:r>
      <w:r w:rsidR="00B81686">
        <w:t xml:space="preserve">CGI reporting and possible future UE specific measurements </w:t>
      </w:r>
      <w:r w:rsidR="00DB5F59">
        <w:t xml:space="preserve">(e.g. something like PDCP delay reporting in LTE) </w:t>
      </w:r>
      <w:r w:rsidR="00B81686">
        <w:t xml:space="preserve">would be </w:t>
      </w:r>
      <w:r w:rsidR="00DB5F59">
        <w:t xml:space="preserve">just new </w:t>
      </w:r>
      <w:r w:rsidR="00A728F8">
        <w:t>measurement object type without needing to have “empty object”</w:t>
      </w:r>
      <w:r w:rsidR="004B61FE">
        <w:t xml:space="preserve">. </w:t>
      </w:r>
    </w:p>
    <w:p w14:paraId="33E8BAA4" w14:textId="7C870E20" w:rsidR="006D4112" w:rsidRDefault="006D4112" w:rsidP="008F23A7">
      <w:r>
        <w:rPr>
          <w:b/>
        </w:rPr>
        <w:t xml:space="preserve">Proposal: </w:t>
      </w:r>
      <w:r>
        <w:t xml:space="preserve">Introduce non </w:t>
      </w:r>
      <w:r w:rsidR="004B61FE">
        <w:t>RRM</w:t>
      </w:r>
      <w:r>
        <w:t xml:space="preserve"> reporting measurements into new measurement object type</w:t>
      </w:r>
    </w:p>
    <w:p w14:paraId="7FDD41E8" w14:textId="68FA7935" w:rsidR="00930623" w:rsidRDefault="004459F9" w:rsidP="008F23A7">
      <w:r>
        <w:t>Additionally,</w:t>
      </w:r>
      <w:r w:rsidR="00930623">
        <w:t xml:space="preserve"> what we think would need to be changed is quantity configuration – in LTE it is part of measurement configuration and common to all bands but in NR we can have objects in sub 1Ghz band and then objects in &gt;60Ghz band. Same filtering does not seem to be very well fitting in this kind of </w:t>
      </w:r>
      <w:r>
        <w:t>system.</w:t>
      </w:r>
      <w:r w:rsidR="00EC2E20">
        <w:t xml:space="preserve"> S</w:t>
      </w:r>
      <w:r w:rsidR="00B731C0">
        <w:t>o</w:t>
      </w:r>
      <w:r w:rsidR="00EC2E20">
        <w:t xml:space="preserve"> it should be possible to configure filters differently to different measurement objects.</w:t>
      </w:r>
    </w:p>
    <w:p w14:paraId="07964D05" w14:textId="4560A8E8" w:rsidR="006F29E9" w:rsidRDefault="00EE63DF" w:rsidP="008F23A7">
      <w:r>
        <w:rPr>
          <w:b/>
        </w:rPr>
        <w:t xml:space="preserve">Proposal: </w:t>
      </w:r>
      <w:r>
        <w:t>Introduce quanti</w:t>
      </w:r>
      <w:r w:rsidR="00236636">
        <w:t>ty configu</w:t>
      </w:r>
      <w:r w:rsidR="00EC2E20">
        <w:t>ration (filters) to be configurable differently for each</w:t>
      </w:r>
      <w:r>
        <w:t xml:space="preserve"> measurement object</w:t>
      </w:r>
    </w:p>
    <w:p w14:paraId="43A12B72" w14:textId="675560F9" w:rsidR="00CD4C7B" w:rsidRPr="006E13D1" w:rsidRDefault="00C42F45" w:rsidP="00CD4C7B">
      <w:pPr>
        <w:pStyle w:val="Heading1"/>
      </w:pPr>
      <w:r>
        <w:t>3</w:t>
      </w:r>
      <w:r w:rsidR="00CD4C7B" w:rsidRPr="006E13D1">
        <w:tab/>
      </w:r>
      <w:r w:rsidR="00C56864">
        <w:t>Conclusion</w:t>
      </w:r>
    </w:p>
    <w:p w14:paraId="190C81D1" w14:textId="67855C79" w:rsidR="00CD4C7B" w:rsidRDefault="00C42F45" w:rsidP="00CD4C7B">
      <w:r>
        <w:t>In this paper we discussed generic structure of realizing measurement configuration by following LTE principles as much as possible and came to following conclusions:</w:t>
      </w:r>
    </w:p>
    <w:p w14:paraId="013D5555" w14:textId="1493ACD3" w:rsidR="00C42F45" w:rsidRDefault="00C42F45" w:rsidP="00C42F45">
      <w:r>
        <w:rPr>
          <w:b/>
        </w:rPr>
        <w:t xml:space="preserve">Observation: </w:t>
      </w:r>
      <w:r>
        <w:t>In 3GPP RAN Stage-3 specifications are written from UE point of view but on the other hand Stage-2 may need to write aspects from NW point of view to provide some light why BWP is required in NR</w:t>
      </w:r>
    </w:p>
    <w:p w14:paraId="1F500F03" w14:textId="77777777" w:rsidR="00C42F45" w:rsidRDefault="00C42F45" w:rsidP="00C42F45">
      <w:r>
        <w:rPr>
          <w:b/>
        </w:rPr>
        <w:t xml:space="preserve">Observation: </w:t>
      </w:r>
      <w:r>
        <w:t>Having multiple SSBs configured per BWP does not seem to be required from RRM or scheduling point of view</w:t>
      </w:r>
    </w:p>
    <w:p w14:paraId="2B651531" w14:textId="2DC30D44" w:rsidR="00C42F45" w:rsidRDefault="00C42F45" w:rsidP="00C42F45">
      <w:r>
        <w:rPr>
          <w:b/>
        </w:rPr>
        <w:t xml:space="preserve">Proposal: </w:t>
      </w:r>
      <w:r>
        <w:t>Enable configuring single SSB per measurement object (and do not enable configuring multiple SSB per MO). This would be analogous to EUTRAN.</w:t>
      </w:r>
    </w:p>
    <w:p w14:paraId="4A69BFBF" w14:textId="0EA2BA52" w:rsidR="00C42F45" w:rsidRDefault="00C42F45" w:rsidP="00C42F45">
      <w:r>
        <w:rPr>
          <w:b/>
        </w:rPr>
        <w:t xml:space="preserve">Proposal: </w:t>
      </w:r>
      <w:r>
        <w:t xml:space="preserve">Enable </w:t>
      </w:r>
      <w:r w:rsidR="00D360FA">
        <w:t>configuring a CSI-RS resourceset</w:t>
      </w:r>
      <w:r>
        <w:t xml:space="preserve"> of single carrier per measurement object. </w:t>
      </w:r>
    </w:p>
    <w:p w14:paraId="3AAEC737" w14:textId="77777777" w:rsidR="00C42F45" w:rsidRDefault="00C42F45" w:rsidP="00C42F45">
      <w:r>
        <w:rPr>
          <w:b/>
        </w:rPr>
        <w:t xml:space="preserve">Proposal: </w:t>
      </w:r>
      <w:r>
        <w:t>There is no need to prevent NW from configuring multiple SSBs/CSI-RSes from BWP and independent reporting of these.</w:t>
      </w:r>
      <w:r w:rsidRPr="009D41C0">
        <w:t xml:space="preserve"> </w:t>
      </w:r>
      <w:r>
        <w:t>NOTE: no specification impact</w:t>
      </w:r>
      <w:r w:rsidRPr="009D41C0">
        <w:t xml:space="preserve"> </w:t>
      </w:r>
      <w:r>
        <w:t>assuming earlier proposals are agreed</w:t>
      </w:r>
    </w:p>
    <w:p w14:paraId="5DDB7B11" w14:textId="77777777" w:rsidR="00C42F45" w:rsidRDefault="00C42F45" w:rsidP="00C42F45">
      <w:r>
        <w:rPr>
          <w:b/>
        </w:rPr>
        <w:t xml:space="preserve">Proposal: </w:t>
      </w:r>
      <w:r>
        <w:t>Confirm that NR-ARFCN of MO is the frequency of the measured resource (up to RAN4/RAN1 to decide what is carrier rasters for measured resources)</w:t>
      </w:r>
    </w:p>
    <w:p w14:paraId="3BE8A9BA" w14:textId="77777777" w:rsidR="00C42F45" w:rsidRPr="00FA479D" w:rsidRDefault="00C42F45" w:rsidP="00C42F45">
      <w:r>
        <w:rPr>
          <w:b/>
        </w:rPr>
        <w:t xml:space="preserve">Proposal: </w:t>
      </w:r>
      <w:r>
        <w:t>There is no need to signal offset to measured resource</w:t>
      </w:r>
    </w:p>
    <w:p w14:paraId="06B6E9E4" w14:textId="77777777" w:rsidR="00C42F45" w:rsidRDefault="00C42F45" w:rsidP="00C42F45">
      <w:r>
        <w:rPr>
          <w:b/>
        </w:rPr>
        <w:t xml:space="preserve">Proposal: </w:t>
      </w:r>
      <w:r>
        <w:t>Introduce non RRM reporting measurements into new measurement object type</w:t>
      </w:r>
    </w:p>
    <w:p w14:paraId="1567A803" w14:textId="77777777" w:rsidR="00C42F45" w:rsidRDefault="00C42F45" w:rsidP="00C42F45">
      <w:r>
        <w:rPr>
          <w:b/>
        </w:rPr>
        <w:t xml:space="preserve">Proposal: </w:t>
      </w:r>
      <w:r>
        <w:t>Introduce quantity configuration (filters) to be configurable differently for each measurement object</w:t>
      </w:r>
    </w:p>
    <w:p w14:paraId="02397643" w14:textId="77777777" w:rsidR="00C42F45" w:rsidRPr="006E13D1" w:rsidRDefault="00C42F45" w:rsidP="00CD4C7B"/>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p w14:paraId="4AA5C936" w14:textId="77777777" w:rsidR="00CD4C7B" w:rsidRPr="006E13D1" w:rsidRDefault="0090466A" w:rsidP="00CD4C7B">
      <w:pPr>
        <w:numPr>
          <w:ilvl w:val="0"/>
          <w:numId w:val="4"/>
        </w:numPr>
        <w:overflowPunct w:val="0"/>
        <w:autoSpaceDE w:val="0"/>
        <w:autoSpaceDN w:val="0"/>
        <w:adjustRightInd w:val="0"/>
        <w:textAlignment w:val="baseline"/>
      </w:pPr>
      <w:r>
        <w:t>Rx-06xxxx</w:t>
      </w:r>
      <w:r w:rsidR="00CD4C7B" w:rsidRPr="006E13D1">
        <w:t xml:space="preserve"> </w:t>
      </w:r>
      <w:r w:rsidR="00CD4C7B" w:rsidRPr="006E13D1">
        <w:rPr>
          <w:i/>
          <w:iCs/>
        </w:rPr>
        <w:t>Title</w:t>
      </w:r>
      <w:bookmarkEnd w:id="2"/>
      <w:r>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0DF8D" w14:textId="77777777" w:rsidR="00A12FAB" w:rsidRDefault="00A12FAB">
      <w:r>
        <w:separator/>
      </w:r>
    </w:p>
  </w:endnote>
  <w:endnote w:type="continuationSeparator" w:id="0">
    <w:p w14:paraId="6D315C95" w14:textId="77777777" w:rsidR="00A12FAB" w:rsidRDefault="00A1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D37E4" w14:textId="77777777" w:rsidR="00A12FAB" w:rsidRDefault="00A12FAB">
      <w:r>
        <w:separator/>
      </w:r>
    </w:p>
  </w:footnote>
  <w:footnote w:type="continuationSeparator" w:id="0">
    <w:p w14:paraId="362E29AD" w14:textId="77777777" w:rsidR="00A12FAB" w:rsidRDefault="00A12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4B1"/>
    <w:multiLevelType w:val="hybridMultilevel"/>
    <w:tmpl w:val="32FA082E"/>
    <w:lvl w:ilvl="0" w:tplc="AD3E9824">
      <w:start w:val="2"/>
      <w:numFmt w:val="bullet"/>
      <w:lvlText w:val="-"/>
      <w:lvlJc w:val="left"/>
      <w:pPr>
        <w:ind w:left="720" w:hanging="360"/>
      </w:pPr>
      <w:rPr>
        <w:rFonts w:ascii="Calibri" w:eastAsia="Times New Roman" w:hAnsi="Calibri" w:cs="Times New Roman"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F">
      <w:start w:val="1"/>
      <w:numFmt w:val="decimal"/>
      <w:lvlText w:val="%5."/>
      <w:lvlJc w:val="left"/>
      <w:pPr>
        <w:ind w:left="3600" w:hanging="360"/>
      </w:pPr>
      <w:rPr>
        <w:rFonts w:cs="Times New Roman"/>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FC11B5D"/>
    <w:multiLevelType w:val="hybridMultilevel"/>
    <w:tmpl w:val="3A1CD08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FD22BFC"/>
    <w:multiLevelType w:val="hybridMultilevel"/>
    <w:tmpl w:val="819478F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C556DEB"/>
    <w:multiLevelType w:val="hybridMultilevel"/>
    <w:tmpl w:val="B2945D8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EC039FE"/>
    <w:multiLevelType w:val="hybridMultilevel"/>
    <w:tmpl w:val="6744149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lvlOverride w:ilvl="0"/>
    <w:lvlOverride w:ilvl="1"/>
    <w:lvlOverride w:ilvl="2"/>
    <w:lvlOverride w:ilvl="3"/>
    <w:lvlOverride w:ilvl="4">
      <w:startOverride w:val="1"/>
    </w:lvlOverride>
    <w:lvlOverride w:ilvl="5"/>
    <w:lvlOverride w:ilvl="6"/>
    <w:lvlOverride w:ilvl="7"/>
    <w:lvlOverride w:ilvl="8"/>
  </w:num>
  <w:num w:numId="6">
    <w:abstractNumId w:val="3"/>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EB"/>
    <w:rsid w:val="000139DD"/>
    <w:rsid w:val="00033397"/>
    <w:rsid w:val="00033654"/>
    <w:rsid w:val="00040095"/>
    <w:rsid w:val="00062E40"/>
    <w:rsid w:val="00070739"/>
    <w:rsid w:val="00080512"/>
    <w:rsid w:val="00090468"/>
    <w:rsid w:val="000A3693"/>
    <w:rsid w:val="000B7BCF"/>
    <w:rsid w:val="000C3935"/>
    <w:rsid w:val="000C522B"/>
    <w:rsid w:val="000D58AB"/>
    <w:rsid w:val="000E6336"/>
    <w:rsid w:val="0010612A"/>
    <w:rsid w:val="00112F1A"/>
    <w:rsid w:val="00145075"/>
    <w:rsid w:val="00160548"/>
    <w:rsid w:val="001741A0"/>
    <w:rsid w:val="00175FA0"/>
    <w:rsid w:val="00177949"/>
    <w:rsid w:val="00180ECC"/>
    <w:rsid w:val="00191A57"/>
    <w:rsid w:val="00194CD0"/>
    <w:rsid w:val="001A6D16"/>
    <w:rsid w:val="001B49C9"/>
    <w:rsid w:val="001B7778"/>
    <w:rsid w:val="001B7A0B"/>
    <w:rsid w:val="001C4F79"/>
    <w:rsid w:val="001F13B8"/>
    <w:rsid w:val="001F168B"/>
    <w:rsid w:val="001F7831"/>
    <w:rsid w:val="00204045"/>
    <w:rsid w:val="00206E91"/>
    <w:rsid w:val="0020712B"/>
    <w:rsid w:val="00215D07"/>
    <w:rsid w:val="0021727D"/>
    <w:rsid w:val="0022606D"/>
    <w:rsid w:val="00235919"/>
    <w:rsid w:val="00236636"/>
    <w:rsid w:val="0024248B"/>
    <w:rsid w:val="00256F83"/>
    <w:rsid w:val="002747EC"/>
    <w:rsid w:val="002855BF"/>
    <w:rsid w:val="00297CC0"/>
    <w:rsid w:val="002B774D"/>
    <w:rsid w:val="002C7696"/>
    <w:rsid w:val="002E565F"/>
    <w:rsid w:val="002E7837"/>
    <w:rsid w:val="002F0D22"/>
    <w:rsid w:val="002F6060"/>
    <w:rsid w:val="002F7C62"/>
    <w:rsid w:val="00300A48"/>
    <w:rsid w:val="0030274E"/>
    <w:rsid w:val="003172DC"/>
    <w:rsid w:val="00321835"/>
    <w:rsid w:val="00325AE3"/>
    <w:rsid w:val="00326069"/>
    <w:rsid w:val="003417BA"/>
    <w:rsid w:val="0035462D"/>
    <w:rsid w:val="00381FF6"/>
    <w:rsid w:val="003B40AD"/>
    <w:rsid w:val="003C4E37"/>
    <w:rsid w:val="003E16BE"/>
    <w:rsid w:val="004006E8"/>
    <w:rsid w:val="00401855"/>
    <w:rsid w:val="0040414E"/>
    <w:rsid w:val="00413DBD"/>
    <w:rsid w:val="00420174"/>
    <w:rsid w:val="00432FD1"/>
    <w:rsid w:val="00433CCD"/>
    <w:rsid w:val="004459F9"/>
    <w:rsid w:val="00453374"/>
    <w:rsid w:val="00455C65"/>
    <w:rsid w:val="00467EDF"/>
    <w:rsid w:val="00476A9E"/>
    <w:rsid w:val="00477455"/>
    <w:rsid w:val="004777F8"/>
    <w:rsid w:val="004814C9"/>
    <w:rsid w:val="0049248A"/>
    <w:rsid w:val="00495017"/>
    <w:rsid w:val="004B3C27"/>
    <w:rsid w:val="004B61FE"/>
    <w:rsid w:val="004C44D2"/>
    <w:rsid w:val="004D3578"/>
    <w:rsid w:val="004D380D"/>
    <w:rsid w:val="004D6A58"/>
    <w:rsid w:val="004E213A"/>
    <w:rsid w:val="004E270D"/>
    <w:rsid w:val="004E3ECC"/>
    <w:rsid w:val="004F5A43"/>
    <w:rsid w:val="004F6FA3"/>
    <w:rsid w:val="00503171"/>
    <w:rsid w:val="00506C28"/>
    <w:rsid w:val="005134F9"/>
    <w:rsid w:val="005323FD"/>
    <w:rsid w:val="00534DA0"/>
    <w:rsid w:val="00543E6C"/>
    <w:rsid w:val="0055778D"/>
    <w:rsid w:val="00565087"/>
    <w:rsid w:val="0056573F"/>
    <w:rsid w:val="005D4EFF"/>
    <w:rsid w:val="005E3B24"/>
    <w:rsid w:val="005F12AE"/>
    <w:rsid w:val="005F7522"/>
    <w:rsid w:val="00611566"/>
    <w:rsid w:val="0063015B"/>
    <w:rsid w:val="0063631A"/>
    <w:rsid w:val="00643CC9"/>
    <w:rsid w:val="00646D99"/>
    <w:rsid w:val="0064796E"/>
    <w:rsid w:val="00656910"/>
    <w:rsid w:val="00657465"/>
    <w:rsid w:val="006A4B5C"/>
    <w:rsid w:val="006A727F"/>
    <w:rsid w:val="006B0DA9"/>
    <w:rsid w:val="006C1532"/>
    <w:rsid w:val="006C66D8"/>
    <w:rsid w:val="006D1E24"/>
    <w:rsid w:val="006D4112"/>
    <w:rsid w:val="006E1417"/>
    <w:rsid w:val="006F29E9"/>
    <w:rsid w:val="006F6A2C"/>
    <w:rsid w:val="00710201"/>
    <w:rsid w:val="00725793"/>
    <w:rsid w:val="007342B5"/>
    <w:rsid w:val="00734A5B"/>
    <w:rsid w:val="0073729B"/>
    <w:rsid w:val="00744E76"/>
    <w:rsid w:val="00757D40"/>
    <w:rsid w:val="00781F0F"/>
    <w:rsid w:val="0078727C"/>
    <w:rsid w:val="0079049D"/>
    <w:rsid w:val="007B18D8"/>
    <w:rsid w:val="007C095F"/>
    <w:rsid w:val="007D2C39"/>
    <w:rsid w:val="0080235A"/>
    <w:rsid w:val="008028A4"/>
    <w:rsid w:val="00802F5B"/>
    <w:rsid w:val="00810836"/>
    <w:rsid w:val="00813245"/>
    <w:rsid w:val="00816E08"/>
    <w:rsid w:val="00846658"/>
    <w:rsid w:val="00865013"/>
    <w:rsid w:val="008768CA"/>
    <w:rsid w:val="008773B5"/>
    <w:rsid w:val="00877EF9"/>
    <w:rsid w:val="00880559"/>
    <w:rsid w:val="00886F92"/>
    <w:rsid w:val="00895E28"/>
    <w:rsid w:val="008A4D47"/>
    <w:rsid w:val="008B5306"/>
    <w:rsid w:val="008F23A7"/>
    <w:rsid w:val="008F2DED"/>
    <w:rsid w:val="00900E0B"/>
    <w:rsid w:val="0090271F"/>
    <w:rsid w:val="00902DB9"/>
    <w:rsid w:val="0090466A"/>
    <w:rsid w:val="0090625E"/>
    <w:rsid w:val="00930623"/>
    <w:rsid w:val="00936071"/>
    <w:rsid w:val="00940212"/>
    <w:rsid w:val="00941223"/>
    <w:rsid w:val="00942EC2"/>
    <w:rsid w:val="00961B32"/>
    <w:rsid w:val="009670FC"/>
    <w:rsid w:val="00970DB3"/>
    <w:rsid w:val="00974BB0"/>
    <w:rsid w:val="009A0AF3"/>
    <w:rsid w:val="009B07CD"/>
    <w:rsid w:val="009C19E9"/>
    <w:rsid w:val="009D41C0"/>
    <w:rsid w:val="009D74A6"/>
    <w:rsid w:val="009F2DF3"/>
    <w:rsid w:val="00A02FB4"/>
    <w:rsid w:val="00A0695B"/>
    <w:rsid w:val="00A10F02"/>
    <w:rsid w:val="00A12FAB"/>
    <w:rsid w:val="00A204CA"/>
    <w:rsid w:val="00A22486"/>
    <w:rsid w:val="00A2519D"/>
    <w:rsid w:val="00A53724"/>
    <w:rsid w:val="00A60E8F"/>
    <w:rsid w:val="00A728F8"/>
    <w:rsid w:val="00A82346"/>
    <w:rsid w:val="00A93172"/>
    <w:rsid w:val="00A9671C"/>
    <w:rsid w:val="00AA1553"/>
    <w:rsid w:val="00AD5060"/>
    <w:rsid w:val="00AE272F"/>
    <w:rsid w:val="00AE6722"/>
    <w:rsid w:val="00B15449"/>
    <w:rsid w:val="00B20202"/>
    <w:rsid w:val="00B2792F"/>
    <w:rsid w:val="00B333C6"/>
    <w:rsid w:val="00B47FD1"/>
    <w:rsid w:val="00B516BB"/>
    <w:rsid w:val="00B731C0"/>
    <w:rsid w:val="00B81686"/>
    <w:rsid w:val="00B86285"/>
    <w:rsid w:val="00B91B89"/>
    <w:rsid w:val="00B972BB"/>
    <w:rsid w:val="00BA09F8"/>
    <w:rsid w:val="00BA5034"/>
    <w:rsid w:val="00BB3882"/>
    <w:rsid w:val="00BE0430"/>
    <w:rsid w:val="00BF4F8B"/>
    <w:rsid w:val="00C03062"/>
    <w:rsid w:val="00C12B51"/>
    <w:rsid w:val="00C178BF"/>
    <w:rsid w:val="00C24650"/>
    <w:rsid w:val="00C26C5C"/>
    <w:rsid w:val="00C33079"/>
    <w:rsid w:val="00C42F45"/>
    <w:rsid w:val="00C56864"/>
    <w:rsid w:val="00C60595"/>
    <w:rsid w:val="00C720BF"/>
    <w:rsid w:val="00C83A13"/>
    <w:rsid w:val="00C9068C"/>
    <w:rsid w:val="00C92967"/>
    <w:rsid w:val="00CA3D0C"/>
    <w:rsid w:val="00CA654B"/>
    <w:rsid w:val="00CD4C7B"/>
    <w:rsid w:val="00D31E01"/>
    <w:rsid w:val="00D360FA"/>
    <w:rsid w:val="00D511BF"/>
    <w:rsid w:val="00D738D6"/>
    <w:rsid w:val="00D77B6F"/>
    <w:rsid w:val="00D80795"/>
    <w:rsid w:val="00D854BE"/>
    <w:rsid w:val="00D87E00"/>
    <w:rsid w:val="00D9134D"/>
    <w:rsid w:val="00D96D11"/>
    <w:rsid w:val="00DA7A03"/>
    <w:rsid w:val="00DB1818"/>
    <w:rsid w:val="00DB5F59"/>
    <w:rsid w:val="00DC309B"/>
    <w:rsid w:val="00DC4DA2"/>
    <w:rsid w:val="00DD5A89"/>
    <w:rsid w:val="00DE2299"/>
    <w:rsid w:val="00DE4456"/>
    <w:rsid w:val="00DE66B3"/>
    <w:rsid w:val="00DF6B05"/>
    <w:rsid w:val="00E159C6"/>
    <w:rsid w:val="00E17DF2"/>
    <w:rsid w:val="00E42E2F"/>
    <w:rsid w:val="00E44736"/>
    <w:rsid w:val="00E4630E"/>
    <w:rsid w:val="00E61CCE"/>
    <w:rsid w:val="00E62835"/>
    <w:rsid w:val="00E77645"/>
    <w:rsid w:val="00E83220"/>
    <w:rsid w:val="00E83697"/>
    <w:rsid w:val="00EB42B9"/>
    <w:rsid w:val="00EB7B0D"/>
    <w:rsid w:val="00EC2E20"/>
    <w:rsid w:val="00EC4A25"/>
    <w:rsid w:val="00ED0588"/>
    <w:rsid w:val="00EE63DF"/>
    <w:rsid w:val="00F0121C"/>
    <w:rsid w:val="00F025A2"/>
    <w:rsid w:val="00F07388"/>
    <w:rsid w:val="00F2026E"/>
    <w:rsid w:val="00F2210A"/>
    <w:rsid w:val="00F3067C"/>
    <w:rsid w:val="00F37743"/>
    <w:rsid w:val="00F54A3D"/>
    <w:rsid w:val="00F54CB0"/>
    <w:rsid w:val="00F653B8"/>
    <w:rsid w:val="00F71B89"/>
    <w:rsid w:val="00F7353C"/>
    <w:rsid w:val="00F76406"/>
    <w:rsid w:val="00F76F8F"/>
    <w:rsid w:val="00F84ECA"/>
    <w:rsid w:val="00FA1266"/>
    <w:rsid w:val="00FA479D"/>
    <w:rsid w:val="00FA578F"/>
    <w:rsid w:val="00FB36FA"/>
    <w:rsid w:val="00FB5313"/>
    <w:rsid w:val="00FC1192"/>
    <w:rsid w:val="00FE3AE0"/>
    <w:rsid w:val="00FF6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E4630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630E"/>
    <w:rPr>
      <w:rFonts w:ascii="Arial" w:eastAsia="MS Mincho" w:hAnsi="Arial"/>
      <w:szCs w:val="24"/>
    </w:rPr>
  </w:style>
  <w:style w:type="paragraph" w:styleId="ListParagraph">
    <w:name w:val="List Paragraph"/>
    <w:basedOn w:val="Normal"/>
    <w:uiPriority w:val="34"/>
    <w:qFormat/>
    <w:rsid w:val="00FB5313"/>
    <w:pPr>
      <w:ind w:left="720"/>
      <w:contextualSpacing/>
    </w:pPr>
  </w:style>
  <w:style w:type="character" w:styleId="CommentReference">
    <w:name w:val="annotation reference"/>
    <w:basedOn w:val="DefaultParagraphFont"/>
    <w:rsid w:val="005E3B24"/>
    <w:rPr>
      <w:sz w:val="16"/>
      <w:szCs w:val="16"/>
    </w:rPr>
  </w:style>
  <w:style w:type="paragraph" w:styleId="CommentText">
    <w:name w:val="annotation text"/>
    <w:basedOn w:val="Normal"/>
    <w:link w:val="CommentTextChar"/>
    <w:rsid w:val="005E3B24"/>
  </w:style>
  <w:style w:type="character" w:customStyle="1" w:styleId="CommentTextChar">
    <w:name w:val="Comment Text Char"/>
    <w:basedOn w:val="DefaultParagraphFont"/>
    <w:link w:val="CommentText"/>
    <w:rsid w:val="005E3B24"/>
    <w:rPr>
      <w:lang w:eastAsia="en-US"/>
    </w:rPr>
  </w:style>
  <w:style w:type="paragraph" w:styleId="CommentSubject">
    <w:name w:val="annotation subject"/>
    <w:basedOn w:val="CommentText"/>
    <w:next w:val="CommentText"/>
    <w:link w:val="CommentSubjectChar"/>
    <w:rsid w:val="005E3B24"/>
    <w:rPr>
      <w:b/>
      <w:bCs/>
    </w:rPr>
  </w:style>
  <w:style w:type="character" w:customStyle="1" w:styleId="CommentSubjectChar">
    <w:name w:val="Comment Subject Char"/>
    <w:basedOn w:val="CommentTextChar"/>
    <w:link w:val="CommentSubject"/>
    <w:rsid w:val="005E3B24"/>
    <w:rPr>
      <w:b/>
      <w:bCs/>
      <w:lang w:eastAsia="en-US"/>
    </w:rPr>
  </w:style>
  <w:style w:type="paragraph" w:styleId="BalloonText">
    <w:name w:val="Balloon Text"/>
    <w:basedOn w:val="Normal"/>
    <w:link w:val="BalloonTextChar"/>
    <w:rsid w:val="005E3B24"/>
    <w:pPr>
      <w:spacing w:after="0"/>
    </w:pPr>
    <w:rPr>
      <w:rFonts w:ascii="Segoe UI" w:hAnsi="Segoe UI" w:cs="Segoe UI"/>
      <w:sz w:val="18"/>
      <w:szCs w:val="18"/>
    </w:rPr>
  </w:style>
  <w:style w:type="character" w:customStyle="1" w:styleId="BalloonTextChar">
    <w:name w:val="Balloon Text Char"/>
    <w:basedOn w:val="DefaultParagraphFont"/>
    <w:link w:val="BalloonText"/>
    <w:rsid w:val="005E3B24"/>
    <w:rPr>
      <w:rFonts w:ascii="Segoe UI" w:hAnsi="Segoe UI" w:cs="Segoe UI"/>
      <w:sz w:val="18"/>
      <w:szCs w:val="18"/>
      <w:lang w:eastAsia="en-US"/>
    </w:rPr>
  </w:style>
  <w:style w:type="character" w:customStyle="1" w:styleId="B1Char1">
    <w:name w:val="B1 Char1"/>
    <w:link w:val="B1"/>
    <w:qFormat/>
    <w:rsid w:val="00F84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982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5AIRPNAIUNRU-859666464-833</_dlc_DocId>
    <_dlc_DocIdUrl xmlns="71c5aaf6-e6ce-465b-b873-5148d2a4c105">
      <Url>https://nokia.sharepoint.com/sites/c5g/e2earch/_layouts/15/DocIdRedir.aspx?ID=5AIRPNAIUNRU-859666464-833</Url>
      <Description>5AIRPNAIUNRU-859666464-833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A00977-FF82-477D-9AE6-81B84B20E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47F22F-DAFB-47AA-ABC1-B668453C2006}">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82FEB41-8DA3-430B-8FCD-8C7217E08633}">
  <ds:schemaRefs>
    <ds:schemaRef ds:uri="http://schemas.microsoft.com/sharepoint/v3/contenttype/forms"/>
  </ds:schemaRefs>
</ds:datastoreItem>
</file>

<file path=customXml/itemProps4.xml><?xml version="1.0" encoding="utf-8"?>
<ds:datastoreItem xmlns:ds="http://schemas.openxmlformats.org/officeDocument/2006/customXml" ds:itemID="{2B9B6CCC-0D19-4A6D-A31A-432438C264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75</TotalTime>
  <Pages>4</Pages>
  <Words>1162</Words>
  <Characters>9418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11</cp:revision>
  <dcterms:created xsi:type="dcterms:W3CDTF">2017-09-28T08:56:00Z</dcterms:created>
  <dcterms:modified xsi:type="dcterms:W3CDTF">2017-09-29T06:47:00Z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607b8e04-ec5f-4b19-9ef5-0fffe68ef6d8</vt:lpwstr>
  </property>
</Properties>
</file>